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2151" w14:textId="28F8182D" w:rsidR="003B217E" w:rsidRDefault="003B217E" w:rsidP="003B217E">
      <w:pPr>
        <w:pStyle w:val="afe"/>
      </w:pPr>
      <w:r w:rsidRPr="003B217E">
        <w:t>Supplementary material</w:t>
      </w:r>
    </w:p>
    <w:p w14:paraId="280ED77B" w14:textId="77777777" w:rsidR="003B217E" w:rsidRDefault="003B217E" w:rsidP="003B217E">
      <w:pPr>
        <w:ind w:firstLine="420"/>
      </w:pPr>
    </w:p>
    <w:p w14:paraId="427F886B" w14:textId="04302564" w:rsidR="00851616" w:rsidRPr="003B217E" w:rsidRDefault="00D84296" w:rsidP="003B217E">
      <w:pPr>
        <w:pStyle w:val="af0"/>
      </w:pPr>
      <w:r w:rsidRPr="003B217E">
        <w:t>Supplementary Table 1</w:t>
      </w:r>
      <w:r w:rsidR="003B217E" w:rsidRPr="003B217E">
        <w:t xml:space="preserve">. </w:t>
      </w:r>
      <w:r w:rsidRPr="003B217E">
        <w:t>Means and standard deviations of continuous variables, by group.</w:t>
      </w:r>
    </w:p>
    <w:tbl>
      <w:tblPr>
        <w:tblStyle w:val="afd"/>
        <w:tblW w:w="5000" w:type="pct"/>
        <w:jc w:val="center"/>
        <w:tblLook w:val="04A0" w:firstRow="1" w:lastRow="0" w:firstColumn="1" w:lastColumn="0" w:noHBand="0" w:noVBand="1"/>
      </w:tblPr>
      <w:tblGrid>
        <w:gridCol w:w="2688"/>
        <w:gridCol w:w="1558"/>
        <w:gridCol w:w="1279"/>
        <w:gridCol w:w="1560"/>
        <w:gridCol w:w="1419"/>
        <w:gridCol w:w="1408"/>
      </w:tblGrid>
      <w:tr w:rsidR="003B217E" w:rsidRPr="003B217E" w14:paraId="23E48E06" w14:textId="77777777" w:rsidTr="00320356">
        <w:trPr>
          <w:trHeight w:val="283"/>
          <w:jc w:val="center"/>
        </w:trPr>
        <w:tc>
          <w:tcPr>
            <w:tcW w:w="1356" w:type="pct"/>
            <w:vMerge w:val="restart"/>
            <w:vAlign w:val="center"/>
          </w:tcPr>
          <w:p w14:paraId="31A13847" w14:textId="77777777" w:rsidR="003B217E" w:rsidRPr="003B217E" w:rsidRDefault="003B217E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Variable</w:t>
            </w:r>
          </w:p>
        </w:tc>
        <w:tc>
          <w:tcPr>
            <w:tcW w:w="1431" w:type="pct"/>
            <w:gridSpan w:val="2"/>
            <w:vAlign w:val="center"/>
          </w:tcPr>
          <w:p w14:paraId="00F6BB0B" w14:textId="77777777" w:rsid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Healthy</w:t>
            </w:r>
          </w:p>
          <w:p w14:paraId="35C0D2AC" w14:textId="1472367E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(n = 167)</w:t>
            </w:r>
          </w:p>
        </w:tc>
        <w:tc>
          <w:tcPr>
            <w:tcW w:w="1503" w:type="pct"/>
            <w:gridSpan w:val="2"/>
            <w:vAlign w:val="center"/>
          </w:tcPr>
          <w:p w14:paraId="336CE571" w14:textId="77777777" w:rsid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SHCN</w:t>
            </w:r>
          </w:p>
          <w:p w14:paraId="6D429282" w14:textId="73AAE26F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(n = 235)</w:t>
            </w:r>
          </w:p>
        </w:tc>
        <w:tc>
          <w:tcPr>
            <w:tcW w:w="710" w:type="pct"/>
            <w:vAlign w:val="center"/>
          </w:tcPr>
          <w:p w14:paraId="29B50530" w14:textId="77777777" w:rsid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All sessions</w:t>
            </w:r>
          </w:p>
          <w:p w14:paraId="2DFB7C84" w14:textId="62426F4F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(n = 402)</w:t>
            </w:r>
          </w:p>
        </w:tc>
      </w:tr>
      <w:tr w:rsidR="003B217E" w:rsidRPr="003B217E" w14:paraId="6224168D" w14:textId="77777777" w:rsidTr="00320356">
        <w:trPr>
          <w:trHeight w:val="283"/>
          <w:jc w:val="center"/>
        </w:trPr>
        <w:tc>
          <w:tcPr>
            <w:tcW w:w="1356" w:type="pct"/>
            <w:vMerge/>
            <w:vAlign w:val="center"/>
          </w:tcPr>
          <w:p w14:paraId="12294D41" w14:textId="77777777" w:rsidR="003B217E" w:rsidRPr="003B217E" w:rsidRDefault="003B217E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86" w:type="pct"/>
            <w:vAlign w:val="center"/>
          </w:tcPr>
          <w:p w14:paraId="55857E9E" w14:textId="77777777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Mean ± SD</w:t>
            </w:r>
          </w:p>
        </w:tc>
        <w:tc>
          <w:tcPr>
            <w:tcW w:w="644" w:type="pct"/>
            <w:vAlign w:val="center"/>
          </w:tcPr>
          <w:p w14:paraId="7D576297" w14:textId="77777777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Range</w:t>
            </w:r>
          </w:p>
        </w:tc>
        <w:tc>
          <w:tcPr>
            <w:tcW w:w="787" w:type="pct"/>
            <w:vAlign w:val="center"/>
          </w:tcPr>
          <w:p w14:paraId="1C6E29FA" w14:textId="77777777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Mean ± SD</w:t>
            </w:r>
          </w:p>
        </w:tc>
        <w:tc>
          <w:tcPr>
            <w:tcW w:w="716" w:type="pct"/>
            <w:vAlign w:val="center"/>
          </w:tcPr>
          <w:p w14:paraId="494D1DAF" w14:textId="77777777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Range</w:t>
            </w:r>
          </w:p>
        </w:tc>
        <w:tc>
          <w:tcPr>
            <w:tcW w:w="710" w:type="pct"/>
            <w:vAlign w:val="center"/>
          </w:tcPr>
          <w:p w14:paraId="2E788F74" w14:textId="77777777" w:rsidR="003B217E" w:rsidRPr="003B217E" w:rsidRDefault="003B217E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Mean ± SD</w:t>
            </w:r>
          </w:p>
        </w:tc>
      </w:tr>
      <w:tr w:rsidR="003B217E" w:rsidRPr="003B217E" w14:paraId="2BF14811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1D820F05" w14:textId="51C92936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Age (</w:t>
            </w:r>
            <w:proofErr w:type="spellStart"/>
            <w:r w:rsidRPr="003B217E">
              <w:rPr>
                <w:rFonts w:ascii="Times New Roman" w:hAnsi="Times New Roman"/>
              </w:rPr>
              <w:t>yr</w:t>
            </w:r>
            <w:proofErr w:type="spellEnd"/>
            <w:r w:rsidRPr="003B217E">
              <w:rPr>
                <w:rFonts w:ascii="Times New Roman" w:hAnsi="Times New Roman"/>
              </w:rPr>
              <w:t>)</w:t>
            </w:r>
          </w:p>
        </w:tc>
        <w:tc>
          <w:tcPr>
            <w:tcW w:w="786" w:type="pct"/>
            <w:vAlign w:val="center"/>
          </w:tcPr>
          <w:p w14:paraId="2186E698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6.1 ± 2.1</w:t>
            </w:r>
          </w:p>
        </w:tc>
        <w:tc>
          <w:tcPr>
            <w:tcW w:w="644" w:type="pct"/>
            <w:vAlign w:val="center"/>
          </w:tcPr>
          <w:p w14:paraId="4F491C66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1–12</w:t>
            </w:r>
          </w:p>
        </w:tc>
        <w:tc>
          <w:tcPr>
            <w:tcW w:w="787" w:type="pct"/>
            <w:vAlign w:val="center"/>
          </w:tcPr>
          <w:p w14:paraId="42D36453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8.2 ± 4.2</w:t>
            </w:r>
          </w:p>
        </w:tc>
        <w:tc>
          <w:tcPr>
            <w:tcW w:w="716" w:type="pct"/>
            <w:vAlign w:val="center"/>
          </w:tcPr>
          <w:p w14:paraId="42BC93E0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2–18</w:t>
            </w:r>
          </w:p>
        </w:tc>
        <w:tc>
          <w:tcPr>
            <w:tcW w:w="710" w:type="pct"/>
            <w:vAlign w:val="center"/>
          </w:tcPr>
          <w:p w14:paraId="5781DC67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7.3 ± 3.6</w:t>
            </w:r>
          </w:p>
        </w:tc>
      </w:tr>
      <w:tr w:rsidR="003B217E" w:rsidRPr="003B217E" w14:paraId="2F877585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62667630" w14:textId="77777777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No. of teeth treated</w:t>
            </w:r>
          </w:p>
        </w:tc>
        <w:tc>
          <w:tcPr>
            <w:tcW w:w="786" w:type="pct"/>
            <w:vAlign w:val="center"/>
          </w:tcPr>
          <w:p w14:paraId="0FD0EA41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9.3 ± 4.8</w:t>
            </w:r>
          </w:p>
        </w:tc>
        <w:tc>
          <w:tcPr>
            <w:tcW w:w="644" w:type="pct"/>
            <w:vAlign w:val="center"/>
          </w:tcPr>
          <w:p w14:paraId="5CB778C8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0–22</w:t>
            </w:r>
          </w:p>
        </w:tc>
        <w:tc>
          <w:tcPr>
            <w:tcW w:w="787" w:type="pct"/>
            <w:vAlign w:val="center"/>
          </w:tcPr>
          <w:p w14:paraId="05A18134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12.5 ± 4.8</w:t>
            </w:r>
          </w:p>
        </w:tc>
        <w:tc>
          <w:tcPr>
            <w:tcW w:w="716" w:type="pct"/>
            <w:vAlign w:val="center"/>
          </w:tcPr>
          <w:p w14:paraId="1FE654A0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0–29</w:t>
            </w:r>
          </w:p>
        </w:tc>
        <w:tc>
          <w:tcPr>
            <w:tcW w:w="710" w:type="pct"/>
            <w:vAlign w:val="center"/>
          </w:tcPr>
          <w:p w14:paraId="62494275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11.2 ± 5.1</w:t>
            </w:r>
          </w:p>
        </w:tc>
      </w:tr>
      <w:tr w:rsidR="003B217E" w:rsidRPr="003B217E" w14:paraId="580A065C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7AB4422F" w14:textId="77777777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Operative time (min)</w:t>
            </w:r>
          </w:p>
        </w:tc>
        <w:tc>
          <w:tcPr>
            <w:tcW w:w="786" w:type="pct"/>
            <w:vAlign w:val="center"/>
          </w:tcPr>
          <w:p w14:paraId="705C013A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132.9 ± 71.0</w:t>
            </w:r>
          </w:p>
        </w:tc>
        <w:tc>
          <w:tcPr>
            <w:tcW w:w="644" w:type="pct"/>
            <w:vAlign w:val="center"/>
          </w:tcPr>
          <w:p w14:paraId="14A80D87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20–357</w:t>
            </w:r>
          </w:p>
        </w:tc>
        <w:tc>
          <w:tcPr>
            <w:tcW w:w="787" w:type="pct"/>
            <w:vAlign w:val="center"/>
          </w:tcPr>
          <w:p w14:paraId="0E1BA679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157.8 ± 90.3</w:t>
            </w:r>
          </w:p>
        </w:tc>
        <w:tc>
          <w:tcPr>
            <w:tcW w:w="716" w:type="pct"/>
            <w:vAlign w:val="center"/>
          </w:tcPr>
          <w:p w14:paraId="55CE2CCC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28–579</w:t>
            </w:r>
          </w:p>
        </w:tc>
        <w:tc>
          <w:tcPr>
            <w:tcW w:w="710" w:type="pct"/>
            <w:vAlign w:val="center"/>
          </w:tcPr>
          <w:p w14:paraId="61997AD4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147.5 ± 83.6</w:t>
            </w:r>
          </w:p>
        </w:tc>
      </w:tr>
      <w:tr w:rsidR="003B217E" w:rsidRPr="003B217E" w14:paraId="4B2A412C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13A2CE1E" w14:textId="77777777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Anesthesia time (min)</w:t>
            </w:r>
          </w:p>
        </w:tc>
        <w:tc>
          <w:tcPr>
            <w:tcW w:w="786" w:type="pct"/>
            <w:vAlign w:val="center"/>
          </w:tcPr>
          <w:p w14:paraId="67CA0E71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164.6 ± 70.6</w:t>
            </w:r>
          </w:p>
        </w:tc>
        <w:tc>
          <w:tcPr>
            <w:tcW w:w="644" w:type="pct"/>
            <w:vAlign w:val="center"/>
          </w:tcPr>
          <w:p w14:paraId="4D98F212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50–394</w:t>
            </w:r>
          </w:p>
        </w:tc>
        <w:tc>
          <w:tcPr>
            <w:tcW w:w="787" w:type="pct"/>
            <w:vAlign w:val="center"/>
          </w:tcPr>
          <w:p w14:paraId="7F8B8164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194.2 ± 90.7</w:t>
            </w:r>
          </w:p>
        </w:tc>
        <w:tc>
          <w:tcPr>
            <w:tcW w:w="716" w:type="pct"/>
            <w:vAlign w:val="center"/>
          </w:tcPr>
          <w:p w14:paraId="25EFC5E7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60–620</w:t>
            </w:r>
          </w:p>
        </w:tc>
        <w:tc>
          <w:tcPr>
            <w:tcW w:w="710" w:type="pct"/>
            <w:vAlign w:val="center"/>
          </w:tcPr>
          <w:p w14:paraId="7A87EA08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181.9 ± 84.1</w:t>
            </w:r>
          </w:p>
        </w:tc>
      </w:tr>
      <w:tr w:rsidR="003B217E" w:rsidRPr="003B217E" w14:paraId="49A8CD31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2F131006" w14:textId="77777777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Induction + emergence (min)</w:t>
            </w:r>
          </w:p>
        </w:tc>
        <w:tc>
          <w:tcPr>
            <w:tcW w:w="786" w:type="pct"/>
            <w:vAlign w:val="center"/>
          </w:tcPr>
          <w:p w14:paraId="095A8442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31.7 ± 7.2</w:t>
            </w:r>
          </w:p>
        </w:tc>
        <w:tc>
          <w:tcPr>
            <w:tcW w:w="644" w:type="pct"/>
            <w:vAlign w:val="center"/>
          </w:tcPr>
          <w:p w14:paraId="709095CA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17–57</w:t>
            </w:r>
          </w:p>
        </w:tc>
        <w:tc>
          <w:tcPr>
            <w:tcW w:w="787" w:type="pct"/>
            <w:vAlign w:val="center"/>
          </w:tcPr>
          <w:p w14:paraId="75CF60F6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36.4 ± 10.2</w:t>
            </w:r>
          </w:p>
        </w:tc>
        <w:tc>
          <w:tcPr>
            <w:tcW w:w="716" w:type="pct"/>
            <w:vAlign w:val="center"/>
          </w:tcPr>
          <w:p w14:paraId="2FC7C3DD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17–89</w:t>
            </w:r>
          </w:p>
        </w:tc>
        <w:tc>
          <w:tcPr>
            <w:tcW w:w="710" w:type="pct"/>
            <w:vAlign w:val="center"/>
          </w:tcPr>
          <w:p w14:paraId="1DB1D0ED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34.5 ± 9.3</w:t>
            </w:r>
          </w:p>
        </w:tc>
      </w:tr>
      <w:tr w:rsidR="003B217E" w:rsidRPr="003B217E" w14:paraId="2903667B" w14:textId="77777777" w:rsidTr="00320356">
        <w:trPr>
          <w:trHeight w:val="283"/>
          <w:jc w:val="center"/>
        </w:trPr>
        <w:tc>
          <w:tcPr>
            <w:tcW w:w="1356" w:type="pct"/>
            <w:vAlign w:val="center"/>
          </w:tcPr>
          <w:p w14:paraId="6BD4BA5F" w14:textId="77777777" w:rsidR="00851616" w:rsidRPr="003B217E" w:rsidRDefault="00D84296" w:rsidP="003B217E">
            <w:pPr>
              <w:ind w:firstLineChars="0" w:firstLine="0"/>
              <w:jc w:val="left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Total treatment cost (KRW)</w:t>
            </w:r>
          </w:p>
        </w:tc>
        <w:tc>
          <w:tcPr>
            <w:tcW w:w="786" w:type="pct"/>
            <w:vAlign w:val="center"/>
          </w:tcPr>
          <w:p w14:paraId="5AFECC17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1,689,201 ± 776,320</w:t>
            </w:r>
          </w:p>
        </w:tc>
        <w:tc>
          <w:tcPr>
            <w:tcW w:w="644" w:type="pct"/>
            <w:vAlign w:val="center"/>
          </w:tcPr>
          <w:p w14:paraId="7BE878AD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360,938–4,061,444</w:t>
            </w:r>
          </w:p>
        </w:tc>
        <w:tc>
          <w:tcPr>
            <w:tcW w:w="787" w:type="pct"/>
            <w:vAlign w:val="center"/>
          </w:tcPr>
          <w:p w14:paraId="206A7B63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2,106,063 ± 1,041,284</w:t>
            </w:r>
          </w:p>
        </w:tc>
        <w:tc>
          <w:tcPr>
            <w:tcW w:w="716" w:type="pct"/>
            <w:vAlign w:val="center"/>
          </w:tcPr>
          <w:p w14:paraId="300C463B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425,143–6,069,919</w:t>
            </w:r>
          </w:p>
        </w:tc>
        <w:tc>
          <w:tcPr>
            <w:tcW w:w="710" w:type="pct"/>
            <w:vAlign w:val="center"/>
          </w:tcPr>
          <w:p w14:paraId="61EF00ED" w14:textId="77777777" w:rsidR="00851616" w:rsidRPr="003B217E" w:rsidRDefault="00D84296" w:rsidP="003B217E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3B217E">
              <w:rPr>
                <w:rFonts w:ascii="Times New Roman" w:hAnsi="Times New Roman"/>
              </w:rPr>
              <w:t>1,932,889 ± 961,514</w:t>
            </w:r>
          </w:p>
        </w:tc>
      </w:tr>
    </w:tbl>
    <w:p w14:paraId="673EA5D8" w14:textId="6F614909" w:rsidR="00851616" w:rsidRDefault="00D84296" w:rsidP="003B217E">
      <w:pPr>
        <w:pStyle w:val="af1"/>
      </w:pPr>
      <w:r>
        <w:t xml:space="preserve">Data are mean ± standard deviation, with the observed range shown for each group. These parametric summaries are provided only to facilitate comparison with studies that report means; all continuous variables were non-normally distributed (Shapiro–Wilk </w:t>
      </w:r>
      <w:r w:rsidRPr="00FA56CC">
        <w:rPr>
          <w:i/>
          <w:iCs/>
        </w:rPr>
        <w:t>p</w:t>
      </w:r>
      <w:r>
        <w:t xml:space="preserve"> &lt; 0.05 for all continuous variables in both groups), and the medians, interquartile ranges, and statistical comparisons on which the analysis rests are given in Table 2 of the main manuscript. The unit of analysis is the general anesthesia session. SD: standard deviation; SHCN: Special Health Care Needs; KRW: Korean Won.</w:t>
      </w:r>
    </w:p>
    <w:p w14:paraId="023BD569" w14:textId="4C76C96D" w:rsidR="003B217E" w:rsidRDefault="003B217E" w:rsidP="003B217E">
      <w:pPr>
        <w:ind w:firstLine="420"/>
        <w:rPr>
          <w:rFonts w:eastAsiaTheme="minorEastAsia"/>
        </w:rPr>
      </w:pPr>
    </w:p>
    <w:p w14:paraId="041A41DB" w14:textId="77777777" w:rsidR="003B217E" w:rsidRPr="003B217E" w:rsidRDefault="003B217E" w:rsidP="003B217E">
      <w:pPr>
        <w:ind w:firstLine="420"/>
        <w:rPr>
          <w:rFonts w:eastAsiaTheme="minorEastAsia"/>
        </w:rPr>
      </w:pPr>
    </w:p>
    <w:sectPr w:rsidR="003B217E" w:rsidRPr="003B217E" w:rsidSect="003B2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992" w:bottom="992" w:left="992" w:header="283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32194" w14:textId="77777777" w:rsidR="003B217E" w:rsidRDefault="003B217E" w:rsidP="003B217E">
      <w:pPr>
        <w:ind w:firstLine="420"/>
      </w:pPr>
      <w:r>
        <w:separator/>
      </w:r>
    </w:p>
  </w:endnote>
  <w:endnote w:type="continuationSeparator" w:id="0">
    <w:p w14:paraId="6C5CFD56" w14:textId="77777777" w:rsidR="003B217E" w:rsidRDefault="003B217E" w:rsidP="003B217E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5854" w14:textId="77777777" w:rsidR="003B217E" w:rsidRDefault="003B217E">
    <w:pPr>
      <w:pStyle w:val="a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8005124"/>
      <w:docPartObj>
        <w:docPartGallery w:val="Page Numbers (Bottom of Page)"/>
        <w:docPartUnique/>
      </w:docPartObj>
    </w:sdtPr>
    <w:sdtEndPr/>
    <w:sdtContent>
      <w:p w14:paraId="75DE95C3" w14:textId="424AB917" w:rsidR="003B217E" w:rsidRPr="003B217E" w:rsidRDefault="003B217E" w:rsidP="003B217E">
        <w:pPr>
          <w:pStyle w:val="ae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0362" w14:textId="77777777" w:rsidR="003B217E" w:rsidRDefault="003B217E">
    <w:pPr>
      <w:pStyle w:val="a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D4867" w14:textId="77777777" w:rsidR="003B217E" w:rsidRDefault="003B217E" w:rsidP="003B217E">
      <w:pPr>
        <w:ind w:firstLine="420"/>
      </w:pPr>
      <w:r>
        <w:separator/>
      </w:r>
    </w:p>
  </w:footnote>
  <w:footnote w:type="continuationSeparator" w:id="0">
    <w:p w14:paraId="58926FD2" w14:textId="77777777" w:rsidR="003B217E" w:rsidRDefault="003B217E" w:rsidP="003B217E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0107D" w14:textId="77777777" w:rsidR="003B217E" w:rsidRDefault="003B217E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7DAE" w14:textId="77777777" w:rsidR="003B217E" w:rsidRDefault="003B217E" w:rsidP="003B217E">
    <w:pPr>
      <w:pStyle w:val="ac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33F5" w14:textId="77777777" w:rsidR="003B217E" w:rsidRDefault="003B217E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A076471E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8334B55"/>
    <w:multiLevelType w:val="hybridMultilevel"/>
    <w:tmpl w:val="5ED2341A"/>
    <w:lvl w:ilvl="0" w:tplc="445E3B66">
      <w:start w:val="1"/>
      <w:numFmt w:val="bullet"/>
      <w:lvlText w:val="●"/>
      <w:lvlJc w:val="left"/>
      <w:pPr>
        <w:ind w:left="720" w:hanging="360"/>
      </w:pPr>
    </w:lvl>
    <w:lvl w:ilvl="1" w:tplc="3A10FC22">
      <w:start w:val="1"/>
      <w:numFmt w:val="bullet"/>
      <w:lvlText w:val="○"/>
      <w:lvlJc w:val="left"/>
      <w:pPr>
        <w:ind w:left="1440" w:hanging="360"/>
      </w:pPr>
    </w:lvl>
    <w:lvl w:ilvl="2" w:tplc="670CC672">
      <w:start w:val="1"/>
      <w:numFmt w:val="bullet"/>
      <w:lvlText w:val="■"/>
      <w:lvlJc w:val="left"/>
      <w:pPr>
        <w:ind w:left="2160" w:hanging="360"/>
      </w:pPr>
    </w:lvl>
    <w:lvl w:ilvl="3" w:tplc="8DE030B0">
      <w:start w:val="1"/>
      <w:numFmt w:val="bullet"/>
      <w:lvlText w:val="●"/>
      <w:lvlJc w:val="left"/>
      <w:pPr>
        <w:ind w:left="2880" w:hanging="360"/>
      </w:pPr>
    </w:lvl>
    <w:lvl w:ilvl="4" w:tplc="47B2E8BC">
      <w:start w:val="1"/>
      <w:numFmt w:val="bullet"/>
      <w:lvlText w:val="○"/>
      <w:lvlJc w:val="left"/>
      <w:pPr>
        <w:ind w:left="3600" w:hanging="360"/>
      </w:pPr>
    </w:lvl>
    <w:lvl w:ilvl="5" w:tplc="158AC982">
      <w:start w:val="1"/>
      <w:numFmt w:val="bullet"/>
      <w:lvlText w:val="■"/>
      <w:lvlJc w:val="left"/>
      <w:pPr>
        <w:ind w:left="4320" w:hanging="360"/>
      </w:pPr>
    </w:lvl>
    <w:lvl w:ilvl="6" w:tplc="FB940C3A">
      <w:start w:val="1"/>
      <w:numFmt w:val="bullet"/>
      <w:lvlText w:val="●"/>
      <w:lvlJc w:val="left"/>
      <w:pPr>
        <w:ind w:left="5040" w:hanging="360"/>
      </w:pPr>
    </w:lvl>
    <w:lvl w:ilvl="7" w:tplc="590E04D2">
      <w:start w:val="1"/>
      <w:numFmt w:val="bullet"/>
      <w:lvlText w:val="●"/>
      <w:lvlJc w:val="left"/>
      <w:pPr>
        <w:ind w:left="5760" w:hanging="360"/>
      </w:pPr>
    </w:lvl>
    <w:lvl w:ilvl="8" w:tplc="2FE828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16"/>
    <w:rsid w:val="00320356"/>
    <w:rsid w:val="003B217E"/>
    <w:rsid w:val="00851616"/>
    <w:rsid w:val="00D84296"/>
    <w:rsid w:val="00FA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78C86"/>
  <w15:docId w15:val="{8223166F-2958-48D4-AE76-C5F932FE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17E"/>
    <w:pPr>
      <w:widowControl w:val="0"/>
      <w:ind w:firstLineChars="200" w:firstLine="200"/>
      <w:jc w:val="both"/>
    </w:pPr>
    <w:rPr>
      <w:rFonts w:eastAsia="Times New Roman"/>
      <w:kern w:val="2"/>
      <w:sz w:val="21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3B217E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3B217E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3B217E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3B217E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B217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3B217E"/>
    <w:pPr>
      <w:keepNext/>
      <w:keepLines/>
      <w:numPr>
        <w:ilvl w:val="5"/>
        <w:numId w:val="9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3B217E"/>
    <w:pPr>
      <w:keepNext/>
      <w:keepLines/>
      <w:numPr>
        <w:ilvl w:val="6"/>
        <w:numId w:val="9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B217E"/>
    <w:pPr>
      <w:keepNext/>
      <w:keepLines/>
      <w:numPr>
        <w:ilvl w:val="7"/>
        <w:numId w:val="9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17E"/>
    <w:pPr>
      <w:keepNext/>
      <w:keepLines/>
      <w:numPr>
        <w:ilvl w:val="8"/>
        <w:numId w:val="9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1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B2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link w:val="ac"/>
    <w:uiPriority w:val="99"/>
    <w:rsid w:val="003B217E"/>
    <w:rPr>
      <w:rFonts w:eastAsia="Times New Roman"/>
      <w:kern w:val="2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B21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link w:val="ae"/>
    <w:uiPriority w:val="99"/>
    <w:rsid w:val="003B217E"/>
    <w:rPr>
      <w:rFonts w:eastAsia="Times New Roman"/>
      <w:kern w:val="2"/>
      <w:sz w:val="18"/>
      <w:szCs w:val="18"/>
    </w:rPr>
  </w:style>
  <w:style w:type="character" w:customStyle="1" w:styleId="10">
    <w:name w:val="标题 1 字符"/>
    <w:aliases w:val="一级标题 字符"/>
    <w:link w:val="1"/>
    <w:uiPriority w:val="1"/>
    <w:rsid w:val="003B217E"/>
    <w:rPr>
      <w:rFonts w:eastAsia="Times New Roman" w:cs="Book Antiqua"/>
      <w:b/>
      <w:bCs/>
      <w:sz w:val="24"/>
    </w:rPr>
  </w:style>
  <w:style w:type="character" w:customStyle="1" w:styleId="20">
    <w:name w:val="标题 2 字符"/>
    <w:aliases w:val="二级标题 字符"/>
    <w:link w:val="2"/>
    <w:uiPriority w:val="9"/>
    <w:rsid w:val="003B217E"/>
    <w:rPr>
      <w:rFonts w:eastAsia="Times New Roman"/>
      <w:b/>
      <w:bCs/>
      <w:i/>
      <w:kern w:val="2"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3B217E"/>
    <w:rPr>
      <w:rFonts w:eastAsia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sid w:val="003B217E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sid w:val="003B217E"/>
    <w:rPr>
      <w:rFonts w:eastAsia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sid w:val="003B217E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sid w:val="003B217E"/>
    <w:rPr>
      <w:rFonts w:eastAsia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sid w:val="003B217E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sid w:val="003B217E"/>
    <w:rPr>
      <w:rFonts w:ascii="等线 Light" w:eastAsia="等线 Light" w:hAnsi="等线 Light"/>
      <w:kern w:val="2"/>
      <w:sz w:val="21"/>
      <w:szCs w:val="21"/>
    </w:rPr>
  </w:style>
  <w:style w:type="paragraph" w:customStyle="1" w:styleId="af0">
    <w:name w:val="表题"/>
    <w:basedOn w:val="a"/>
    <w:autoRedefine/>
    <w:qFormat/>
    <w:rsid w:val="003B217E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1">
    <w:name w:val="表注"/>
    <w:basedOn w:val="af0"/>
    <w:autoRedefine/>
    <w:qFormat/>
    <w:rsid w:val="003B217E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2">
    <w:name w:val="参考文献"/>
    <w:basedOn w:val="a"/>
    <w:autoRedefine/>
    <w:qFormat/>
    <w:rsid w:val="003B217E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3">
    <w:name w:val="稿件类型"/>
    <w:basedOn w:val="a"/>
    <w:autoRedefine/>
    <w:qFormat/>
    <w:rsid w:val="003B217E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4">
    <w:name w:val="关键词"/>
    <w:basedOn w:val="a"/>
    <w:autoRedefine/>
    <w:qFormat/>
    <w:rsid w:val="003B217E"/>
    <w:pPr>
      <w:ind w:firstLineChars="0" w:firstLine="0"/>
    </w:pPr>
    <w:rPr>
      <w:noProof/>
    </w:rPr>
  </w:style>
  <w:style w:type="paragraph" w:customStyle="1" w:styleId="af5">
    <w:name w:val="机构信息"/>
    <w:basedOn w:val="a"/>
    <w:link w:val="af6"/>
    <w:autoRedefine/>
    <w:qFormat/>
    <w:rsid w:val="003B217E"/>
    <w:pPr>
      <w:ind w:firstLineChars="0" w:firstLine="0"/>
    </w:pPr>
    <w:rPr>
      <w:i/>
    </w:rPr>
  </w:style>
  <w:style w:type="character" w:customStyle="1" w:styleId="af6">
    <w:name w:val="机构信息 字符"/>
    <w:link w:val="af5"/>
    <w:rsid w:val="003B217E"/>
    <w:rPr>
      <w:rFonts w:eastAsia="Times New Roman"/>
      <w:i/>
      <w:kern w:val="2"/>
      <w:sz w:val="21"/>
      <w:szCs w:val="21"/>
    </w:rPr>
  </w:style>
  <w:style w:type="paragraph" w:customStyle="1" w:styleId="af7">
    <w:name w:val="接收日期"/>
    <w:basedOn w:val="a"/>
    <w:autoRedefine/>
    <w:qFormat/>
    <w:rsid w:val="003B217E"/>
    <w:pPr>
      <w:ind w:firstLineChars="0" w:firstLine="0"/>
    </w:pPr>
  </w:style>
  <w:style w:type="paragraph" w:styleId="af8">
    <w:name w:val="annotation text"/>
    <w:basedOn w:val="a"/>
    <w:link w:val="af9"/>
    <w:uiPriority w:val="99"/>
    <w:unhideWhenUsed/>
    <w:rsid w:val="003B217E"/>
    <w:pPr>
      <w:ind w:firstLine="400"/>
    </w:pPr>
    <w:rPr>
      <w:kern w:val="0"/>
      <w:sz w:val="20"/>
      <w:szCs w:val="20"/>
    </w:rPr>
  </w:style>
  <w:style w:type="character" w:customStyle="1" w:styleId="af9">
    <w:name w:val="批注文字 字符"/>
    <w:basedOn w:val="a0"/>
    <w:link w:val="af8"/>
    <w:uiPriority w:val="99"/>
    <w:rsid w:val="003B217E"/>
    <w:rPr>
      <w:rFonts w:eastAsia="Times New Roman"/>
    </w:rPr>
  </w:style>
  <w:style w:type="paragraph" w:styleId="afa">
    <w:name w:val="Normal (Web)"/>
    <w:basedOn w:val="a"/>
    <w:uiPriority w:val="99"/>
    <w:unhideWhenUsed/>
    <w:rsid w:val="003B217E"/>
    <w:pPr>
      <w:spacing w:before="100" w:beforeAutospacing="1" w:after="100" w:afterAutospacing="1"/>
    </w:pPr>
    <w:rPr>
      <w:lang w:eastAsia="en-US"/>
    </w:rPr>
  </w:style>
  <w:style w:type="paragraph" w:customStyle="1" w:styleId="afb">
    <w:name w:val="通讯作者"/>
    <w:basedOn w:val="a"/>
    <w:autoRedefine/>
    <w:qFormat/>
    <w:rsid w:val="003B217E"/>
    <w:pPr>
      <w:ind w:firstLineChars="0" w:firstLine="0"/>
    </w:pPr>
  </w:style>
  <w:style w:type="paragraph" w:customStyle="1" w:styleId="afc">
    <w:name w:val="图注"/>
    <w:basedOn w:val="af1"/>
    <w:autoRedefine/>
    <w:qFormat/>
    <w:rsid w:val="003B217E"/>
  </w:style>
  <w:style w:type="table" w:styleId="afd">
    <w:name w:val="Table Grid"/>
    <w:basedOn w:val="a1"/>
    <w:uiPriority w:val="59"/>
    <w:qFormat/>
    <w:rsid w:val="003B217E"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文章标题"/>
    <w:basedOn w:val="a"/>
    <w:link w:val="aff"/>
    <w:autoRedefine/>
    <w:qFormat/>
    <w:rsid w:val="003B217E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">
    <w:name w:val="文章标题 字符"/>
    <w:link w:val="afe"/>
    <w:rsid w:val="003B217E"/>
    <w:rPr>
      <w:rFonts w:eastAsia="Times New Roman"/>
      <w:b/>
      <w:bCs/>
      <w:spacing w:val="-8"/>
      <w:kern w:val="2"/>
      <w:sz w:val="36"/>
      <w:szCs w:val="36"/>
    </w:rPr>
  </w:style>
  <w:style w:type="paragraph" w:customStyle="1" w:styleId="aff0">
    <w:name w:val="文章内容"/>
    <w:basedOn w:val="a"/>
    <w:link w:val="aff1"/>
    <w:autoRedefine/>
    <w:rsid w:val="003B217E"/>
    <w:pPr>
      <w:ind w:firstLine="420"/>
    </w:pPr>
    <w:rPr>
      <w:color w:val="000000"/>
    </w:rPr>
  </w:style>
  <w:style w:type="character" w:customStyle="1" w:styleId="aff1">
    <w:name w:val="文章内容 字符"/>
    <w:link w:val="aff0"/>
    <w:rsid w:val="003B217E"/>
    <w:rPr>
      <w:rFonts w:eastAsia="Times New Roman"/>
      <w:color w:val="000000"/>
      <w:kern w:val="2"/>
      <w:sz w:val="21"/>
      <w:szCs w:val="21"/>
    </w:rPr>
  </w:style>
  <w:style w:type="character" w:styleId="aff2">
    <w:name w:val="line number"/>
    <w:uiPriority w:val="99"/>
    <w:semiHidden/>
    <w:unhideWhenUsed/>
    <w:rsid w:val="003B217E"/>
  </w:style>
  <w:style w:type="paragraph" w:customStyle="1" w:styleId="aff3">
    <w:name w:val="摘要"/>
    <w:basedOn w:val="a"/>
    <w:autoRedefine/>
    <w:qFormat/>
    <w:rsid w:val="003B217E"/>
    <w:pPr>
      <w:ind w:firstLineChars="0" w:firstLine="0"/>
    </w:pPr>
    <w:rPr>
      <w:noProof/>
    </w:rPr>
  </w:style>
  <w:style w:type="character" w:styleId="aff4">
    <w:name w:val="Placeholder Text"/>
    <w:uiPriority w:val="99"/>
    <w:semiHidden/>
    <w:rsid w:val="003B217E"/>
    <w:rPr>
      <w:color w:val="808080"/>
    </w:rPr>
  </w:style>
  <w:style w:type="paragraph" w:styleId="aff5">
    <w:name w:val="Body Text"/>
    <w:basedOn w:val="a"/>
    <w:link w:val="aff6"/>
    <w:autoRedefine/>
    <w:uiPriority w:val="1"/>
    <w:qFormat/>
    <w:rsid w:val="003B217E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6">
    <w:name w:val="正文文本 字符"/>
    <w:link w:val="aff5"/>
    <w:uiPriority w:val="1"/>
    <w:rsid w:val="003B217E"/>
    <w:rPr>
      <w:rFonts w:eastAsia="Times New Roman"/>
      <w:sz w:val="21"/>
      <w:szCs w:val="21"/>
    </w:rPr>
  </w:style>
  <w:style w:type="paragraph" w:customStyle="1" w:styleId="aff7">
    <w:name w:val="致谢部分"/>
    <w:basedOn w:val="aff5"/>
    <w:link w:val="aff8"/>
    <w:autoRedefine/>
    <w:qFormat/>
    <w:rsid w:val="003B217E"/>
    <w:pPr>
      <w:ind w:firstLineChars="0" w:firstLine="0"/>
    </w:pPr>
    <w:rPr>
      <w:b/>
      <w:sz w:val="24"/>
      <w:szCs w:val="24"/>
    </w:rPr>
  </w:style>
  <w:style w:type="character" w:customStyle="1" w:styleId="aff8">
    <w:name w:val="致谢部分 字符"/>
    <w:link w:val="aff7"/>
    <w:rsid w:val="003B217E"/>
    <w:rPr>
      <w:rFonts w:eastAsia="Times New Roman"/>
      <w:b/>
      <w:sz w:val="24"/>
      <w:szCs w:val="24"/>
    </w:rPr>
  </w:style>
  <w:style w:type="paragraph" w:customStyle="1" w:styleId="aff9">
    <w:name w:val="作者信息"/>
    <w:basedOn w:val="a"/>
    <w:autoRedefine/>
    <w:qFormat/>
    <w:rsid w:val="003B217E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Daisy</cp:lastModifiedBy>
  <cp:revision>4</cp:revision>
  <dcterms:created xsi:type="dcterms:W3CDTF">2026-08-07T13:17:00Z</dcterms:created>
  <dcterms:modified xsi:type="dcterms:W3CDTF">2026-09-07T01:25:00Z</dcterms:modified>
</cp:coreProperties>
</file>